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031" w:rsidRPr="0080010F" w:rsidRDefault="00495031" w:rsidP="00495031">
      <w:pPr>
        <w:pStyle w:val="Titre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399"/>
      </w:tblGrid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495031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&lt;14b501d3280b$a13ff6123$e3bfe258$@fba.co.atls&gt;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15:15 (Remis après 0 secondes)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495031" w:rsidRPr="00495031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adjoint du </w:t>
            </w:r>
            <w:r w:rsidR="00E91424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&lt;dhdlo@fba.co.atls&gt;</w:t>
            </w:r>
          </w:p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via Microsoft Outlook 14.0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495031" w:rsidRPr="00495031" w:rsidRDefault="00495031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Hermes Novas &lt;hermes.novas@fba.co.atls&gt;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Objet:</w:t>
            </w:r>
          </w:p>
        </w:tc>
        <w:tc>
          <w:tcPr>
            <w:tcW w:w="0" w:type="auto"/>
            <w:vAlign w:val="center"/>
            <w:hideMark/>
          </w:tcPr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 – préparatifs émission obligations anniversaire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10.0.1.148</w:t>
            </w:r>
          </w:p>
        </w:tc>
      </w:tr>
    </w:tbl>
    <w:p w:rsidR="00495031" w:rsidRDefault="00495031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 xml:space="preserve">Chef adjoint du </w:t>
      </w:r>
      <w:r w:rsidR="00E91424">
        <w:rPr>
          <w:b/>
          <w:sz w:val="24"/>
          <w:szCs w:val="24"/>
        </w:rPr>
        <w:t>département</w:t>
      </w:r>
      <w:r>
        <w:rPr>
          <w:b/>
          <w:sz w:val="24"/>
          <w:szCs w:val="24"/>
        </w:rPr>
        <w:t xml:space="preserve"> Logistique et opérations &lt;dhdlo@fba.co.atls&gt;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15:15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Hermes Novas &lt;hermes.novas@fba.co.atls&gt;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</w:t>
      </w:r>
      <w:r>
        <w:rPr>
          <w:b/>
          <w:sz w:val="24"/>
          <w:szCs w:val="24"/>
        </w:rPr>
        <w:tab/>
        <w:t>URGENT – préparatifs émission obligations anniversaire</w:t>
      </w:r>
    </w:p>
    <w:p w:rsidR="00FB7EF8" w:rsidRDefault="00FB7EF8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Hermes,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Brass m'a informé que nous allons bientôt procéder à l'impression d'obligations. Le délai étant très court et nos effectifs </w:t>
      </w:r>
      <w:r w:rsidR="00E91424">
        <w:rPr>
          <w:sz w:val="24"/>
          <w:szCs w:val="24"/>
        </w:rPr>
        <w:t>restreint</w:t>
      </w:r>
      <w:r>
        <w:rPr>
          <w:sz w:val="24"/>
          <w:szCs w:val="24"/>
        </w:rPr>
        <w:t>s, il vous est demandé de vous impliquer à plein temps dans ce projet.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Vous serez chargé de prendre contact avec le </w:t>
      </w:r>
      <w:r w:rsidR="00E91424">
        <w:rPr>
          <w:sz w:val="24"/>
          <w:szCs w:val="24"/>
        </w:rPr>
        <w:t>département</w:t>
      </w:r>
      <w:r>
        <w:rPr>
          <w:sz w:val="24"/>
          <w:szCs w:val="24"/>
        </w:rPr>
        <w:t xml:space="preserve"> impression de la société United Bank Printing et d'assurer la coordination nécessaire avec eux, ainsi qu’entre nos </w:t>
      </w:r>
      <w:r w:rsidR="00E91424">
        <w:rPr>
          <w:sz w:val="24"/>
          <w:szCs w:val="24"/>
        </w:rPr>
        <w:t>départements</w:t>
      </w:r>
      <w:r>
        <w:rPr>
          <w:sz w:val="24"/>
          <w:szCs w:val="24"/>
        </w:rPr>
        <w:t xml:space="preserve"> financiers respectifs pour un bon déroulement des opérations, dans les délais impartis. Vos interlocuteurs seront le directeur général M. Mikos Printos (mikos@ubp.co.atls) et le directeur financier M. Otos Polaroidos (otos@ubp.co.atls).</w:t>
      </w:r>
    </w:p>
    <w:p w:rsidR="00765C0D" w:rsidRPr="00765C0D" w:rsidRDefault="00765C0D" w:rsidP="00765C0D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De notre côté, la responsable </w:t>
      </w:r>
      <w:r w:rsidR="00E91424">
        <w:rPr>
          <w:sz w:val="24"/>
          <w:szCs w:val="24"/>
        </w:rPr>
        <w:t>du département des finances</w:t>
      </w:r>
      <w:r>
        <w:rPr>
          <w:sz w:val="24"/>
          <w:szCs w:val="24"/>
        </w:rPr>
        <w:t>, Artemida Olimpiakos (cfo@fba.co.atls) sera également concernée.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Je resterai disponible pour que vous puissiez vérifier certains éléments avec moi si nécessaire.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Salutations,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C415BC" w:rsidRDefault="00FB7EF8">
      <w:r>
        <w:rPr>
          <w:noProof/>
        </w:rPr>
        <w:drawing>
          <wp:inline distT="0" distB="0" distL="0" distR="0">
            <wp:extent cx="698900" cy="425302"/>
            <wp:effectExtent l="0" t="0" r="635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495031" w:rsidRPr="0080010F" w:rsidRDefault="00495031" w:rsidP="00495031">
      <w:pPr>
        <w:pStyle w:val="Titre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Message d’origine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399"/>
      </w:tblGrid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Message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495031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&lt;20b501d3280b$a13ff600$e3bfe159%@fba.co.atls&gt;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Créé le: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jeu 21/09/2017 15:20 (Remis après 0 secondes)</w:t>
            </w:r>
          </w:p>
        </w:tc>
      </w:tr>
      <w:tr w:rsidR="00495031" w:rsidRPr="00B220D0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495031" w:rsidRPr="00E91424" w:rsidRDefault="00495031" w:rsidP="00495031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 w:rsidRPr="00E91424">
              <w:rPr>
                <w:sz w:val="24"/>
                <w:szCs w:val="24"/>
                <w:lang w:val="en-GB"/>
              </w:rPr>
              <w:t>Hermes Novas &lt;hermes.novas@fba.co.atls&gt;</w:t>
            </w:r>
          </w:p>
          <w:p w:rsidR="00495031" w:rsidRPr="00E91424" w:rsidRDefault="00495031" w:rsidP="00A37995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E91424">
              <w:rPr>
                <w:sz w:val="24"/>
                <w:szCs w:val="24"/>
                <w:lang w:val="en-GB"/>
              </w:rPr>
              <w:t>via Microsoft Outlook 14.0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À:</w:t>
            </w:r>
          </w:p>
        </w:tc>
        <w:tc>
          <w:tcPr>
            <w:tcW w:w="0" w:type="auto"/>
            <w:vAlign w:val="center"/>
            <w:hideMark/>
          </w:tcPr>
          <w:p w:rsidR="00495031" w:rsidRPr="00654A12" w:rsidRDefault="00495031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adjoint du </w:t>
            </w:r>
            <w:r w:rsidR="00E91424">
              <w:rPr>
                <w:sz w:val="24"/>
                <w:szCs w:val="24"/>
              </w:rPr>
              <w:t>département</w:t>
            </w:r>
            <w:r>
              <w:rPr>
                <w:sz w:val="24"/>
                <w:szCs w:val="24"/>
              </w:rPr>
              <w:t xml:space="preserve"> Logistique et opérations &lt;dhdlo@fba.co.atls&gt;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Objet :</w:t>
            </w:r>
          </w:p>
        </w:tc>
        <w:tc>
          <w:tcPr>
            <w:tcW w:w="0" w:type="auto"/>
            <w:vAlign w:val="center"/>
            <w:hideMark/>
          </w:tcPr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 – préparatifs émission obligations anniversaire</w:t>
            </w:r>
          </w:p>
        </w:tc>
      </w:tr>
      <w:tr w:rsidR="00495031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NEUTRAL</w:t>
            </w:r>
            <w:r>
              <w:rPr>
                <w:sz w:val="24"/>
                <w:szCs w:val="24"/>
              </w:rPr>
              <w:t xml:space="preserve"> with IP 10.0.1.150</w:t>
            </w:r>
          </w:p>
        </w:tc>
      </w:tr>
    </w:tbl>
    <w:p w:rsidR="00495031" w:rsidRDefault="00495031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Hermes Novas &lt;hermes.novas@fba.co.atls&gt;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Envoyé le:</w:t>
      </w:r>
      <w:r>
        <w:rPr>
          <w:b/>
          <w:sz w:val="24"/>
          <w:szCs w:val="24"/>
        </w:rPr>
        <w:tab/>
        <w:t>jeu 21/09/2017 15:20</w:t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À:</w:t>
      </w:r>
      <w:r>
        <w:rPr>
          <w:b/>
          <w:sz w:val="24"/>
          <w:szCs w:val="24"/>
        </w:rPr>
        <w:tab/>
        <w:t>Chef adjoint du</w:t>
      </w:r>
      <w:r w:rsidR="00E91424">
        <w:rPr>
          <w:b/>
          <w:sz w:val="24"/>
          <w:szCs w:val="24"/>
        </w:rPr>
        <w:t xml:space="preserve"> département</w:t>
      </w:r>
      <w:r>
        <w:rPr>
          <w:b/>
          <w:sz w:val="24"/>
          <w:szCs w:val="24"/>
        </w:rPr>
        <w:t xml:space="preserve"> Logistique et opérations &lt;dhdlo@fba.co.atls&gt;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Objet:  Re: URGENT – préparatifs émission obligations anniversaire</w:t>
      </w:r>
    </w:p>
    <w:p w:rsidR="00FB7EF8" w:rsidRDefault="00FB7EF8">
      <w:pPr>
        <w:rPr>
          <w:sz w:val="24"/>
          <w:szCs w:val="24"/>
        </w:rPr>
      </w:pP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Yorgos,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Merci de m’associer à ce projet très important. Je tâcherai d’être à la hauteur de la confiance que vous m'accordez.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J'attends vos instructions.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Salutations,</w:t>
      </w:r>
    </w:p>
    <w:p w:rsidR="00FB7EF8" w:rsidRDefault="00FB7EF8">
      <w:pPr>
        <w:rPr>
          <w:noProof/>
        </w:rPr>
      </w:pPr>
      <w:r>
        <w:rPr>
          <w:sz w:val="24"/>
          <w:szCs w:val="24"/>
        </w:rPr>
        <w:t xml:space="preserve">Hermes </w:t>
      </w:r>
    </w:p>
    <w:p w:rsidR="00FB7EF8" w:rsidRPr="00FB7EF8" w:rsidRDefault="00FB7EF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35045EC" wp14:editId="39971420">
            <wp:extent cx="698900" cy="425302"/>
            <wp:effectExtent l="0" t="0" r="635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EF8" w:rsidRPr="00FB7E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783B"/>
    <w:rsid w:val="001A4780"/>
    <w:rsid w:val="00495031"/>
    <w:rsid w:val="00624292"/>
    <w:rsid w:val="00765C0D"/>
    <w:rsid w:val="0080783B"/>
    <w:rsid w:val="00B220D0"/>
    <w:rsid w:val="00C415BC"/>
    <w:rsid w:val="00E91424"/>
    <w:rsid w:val="00F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3BBA1-602C-4A70-863A-2B25A8E6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783B"/>
  </w:style>
  <w:style w:type="paragraph" w:styleId="Titre3">
    <w:name w:val="heading 3"/>
    <w:basedOn w:val="Normal"/>
    <w:link w:val="Titre3Car"/>
    <w:uiPriority w:val="9"/>
    <w:qFormat/>
    <w:rsid w:val="00495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65C0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7EF8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4950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licepardfaut"/>
    <w:rsid w:val="00495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CAROLINE MARTIN</cp:lastModifiedBy>
  <cp:revision>5</cp:revision>
  <dcterms:created xsi:type="dcterms:W3CDTF">2017-10-18T20:47:00Z</dcterms:created>
  <dcterms:modified xsi:type="dcterms:W3CDTF">2018-05-23T12:59:00Z</dcterms:modified>
</cp:coreProperties>
</file>